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927877" w:rsidRPr="00927877" w:rsidRDefault="00927877" w:rsidP="006F2780">
      <w:pPr>
        <w:widowControl w:val="0"/>
        <w:autoSpaceDE w:val="0"/>
        <w:autoSpaceDN w:val="0"/>
        <w:adjustRightInd w:val="0"/>
        <w:spacing w:before="20" w:after="4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>АО «</w:t>
      </w:r>
      <w:r w:rsidR="00B967D2">
        <w:rPr>
          <w:rFonts w:eastAsiaTheme="minorEastAsia" w:cstheme="minorHAnsi"/>
          <w:bCs/>
          <w:iCs/>
          <w:lang w:eastAsia="ru-RU"/>
        </w:rPr>
        <w:t>ВМЭС</w:t>
      </w:r>
      <w:r w:rsidRPr="00927877">
        <w:rPr>
          <w:rFonts w:eastAsiaTheme="minorEastAsia" w:cstheme="minorHAnsi"/>
          <w:bCs/>
          <w:iCs/>
          <w:lang w:eastAsia="ru-RU"/>
        </w:rPr>
        <w:t xml:space="preserve">» </w:t>
      </w:r>
      <w:r w:rsidR="00B967D2" w:rsidRPr="00B967D2">
        <w:rPr>
          <w:rFonts w:eastAsiaTheme="minorEastAsia" w:cstheme="minorHAnsi"/>
          <w:bCs/>
          <w:iCs/>
          <w:lang w:eastAsia="ru-RU"/>
        </w:rPr>
        <w:t>осуществляет свою деятельность на территории города-героя Волгограда.</w:t>
      </w:r>
    </w:p>
    <w:p w:rsidR="00927877" w:rsidRPr="00927877" w:rsidRDefault="00927877" w:rsidP="006F2780">
      <w:pPr>
        <w:widowControl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энергопринимающих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6F2780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6F2780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 w:rsidRPr="006F2780">
        <w:rPr>
          <w:rFonts w:eastAsiaTheme="minorEastAsia" w:cstheme="minorHAnsi"/>
          <w:bCs/>
          <w:iCs/>
          <w:lang w:eastAsia="ru-RU"/>
        </w:rPr>
        <w:t>Общество</w:t>
      </w:r>
      <w:r w:rsidRPr="006F2780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</w:t>
      </w:r>
      <w:r w:rsidR="0094232C" w:rsidRPr="006F2780">
        <w:rPr>
          <w:rFonts w:eastAsiaTheme="minorEastAsia" w:cstheme="minorHAnsi"/>
          <w:bCs/>
          <w:iCs/>
          <w:lang w:eastAsia="ru-RU"/>
        </w:rPr>
        <w:t>АО «</w:t>
      </w:r>
      <w:r w:rsidR="00B967D2" w:rsidRPr="006F2780">
        <w:rPr>
          <w:rFonts w:eastAsiaTheme="minorEastAsia" w:cstheme="minorHAnsi"/>
          <w:bCs/>
          <w:iCs/>
          <w:lang w:eastAsia="ru-RU"/>
        </w:rPr>
        <w:t>ВМЭС</w:t>
      </w:r>
      <w:r w:rsidR="0094232C" w:rsidRPr="006F2780">
        <w:rPr>
          <w:rFonts w:eastAsiaTheme="minorEastAsia" w:cstheme="minorHAnsi"/>
          <w:bCs/>
          <w:iCs/>
          <w:lang w:eastAsia="ru-RU"/>
        </w:rPr>
        <w:t>»</w:t>
      </w:r>
      <w:r w:rsidRPr="006F2780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454661" w:rsidRDefault="0094232C" w:rsidP="006F2780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454661">
        <w:rPr>
          <w:rFonts w:eastAsiaTheme="minorEastAsia" w:cstheme="minorHAnsi"/>
          <w:bCs/>
          <w:iCs/>
          <w:lang w:eastAsia="ru-RU"/>
        </w:rPr>
        <w:t>Основные ф</w:t>
      </w:r>
      <w:r w:rsidR="00927877" w:rsidRPr="00454661">
        <w:rPr>
          <w:rFonts w:eastAsiaTheme="minorEastAsia" w:cstheme="minorHAnsi"/>
          <w:bCs/>
          <w:iCs/>
          <w:lang w:eastAsia="ru-RU"/>
        </w:rPr>
        <w:t xml:space="preserve">акторы, </w:t>
      </w:r>
      <w:r w:rsidRPr="00454661">
        <w:rPr>
          <w:rFonts w:eastAsiaTheme="minorEastAsia" w:cstheme="minorHAnsi"/>
          <w:bCs/>
          <w:iCs/>
          <w:lang w:eastAsia="ru-RU"/>
        </w:rPr>
        <w:t>влияющие на экономику в отрасли и</w:t>
      </w:r>
      <w:r w:rsidR="00927877" w:rsidRPr="00454661">
        <w:rPr>
          <w:rFonts w:eastAsiaTheme="minorEastAsia" w:cstheme="minorHAnsi"/>
          <w:bCs/>
          <w:iCs/>
          <w:lang w:eastAsia="ru-RU"/>
        </w:rPr>
        <w:t xml:space="preserve"> сбыт </w:t>
      </w:r>
      <w:r w:rsidRPr="00454661">
        <w:rPr>
          <w:rFonts w:eastAsiaTheme="minorEastAsia" w:cstheme="minorHAnsi"/>
          <w:bCs/>
          <w:iCs/>
          <w:lang w:eastAsia="ru-RU"/>
        </w:rPr>
        <w:t>оказываемых Обществом услуг</w:t>
      </w:r>
      <w:r w:rsidR="00310092" w:rsidRPr="00454661">
        <w:rPr>
          <w:rFonts w:eastAsiaTheme="minorEastAsia" w:cstheme="minorHAnsi"/>
          <w:bCs/>
          <w:iCs/>
          <w:lang w:eastAsia="ru-RU"/>
        </w:rPr>
        <w:t>:</w:t>
      </w:r>
    </w:p>
    <w:p w:rsidR="00927877" w:rsidRPr="00927877" w:rsidRDefault="00E4443C" w:rsidP="006F2780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527315">
        <w:rPr>
          <w:rFonts w:eastAsiaTheme="minorEastAsia" w:cstheme="minorHAnsi"/>
          <w:bCs/>
          <w:iCs/>
          <w:lang w:eastAsia="ru-RU"/>
        </w:rPr>
        <w:t>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</w:t>
      </w:r>
      <w:r w:rsidR="00D565BF">
        <w:rPr>
          <w:rFonts w:eastAsiaTheme="minorEastAsia" w:cstheme="minorHAnsi"/>
          <w:bCs/>
          <w:iCs/>
          <w:lang w:eastAsia="ru-RU"/>
        </w:rPr>
        <w:t>иятиями (рецессия производства);</w:t>
      </w:r>
    </w:p>
    <w:p w:rsidR="00927877" w:rsidRPr="00927877" w:rsidRDefault="00E4443C" w:rsidP="006F2780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527315">
        <w:rPr>
          <w:rFonts w:eastAsiaTheme="minorEastAsia" w:cstheme="minorHAnsi"/>
          <w:bCs/>
          <w:iCs/>
          <w:lang w:eastAsia="ru-RU"/>
        </w:rPr>
        <w:t>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 w:rsidR="00527315"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 w:rsidR="00527315"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</w:t>
      </w:r>
      <w:r w:rsidR="00D565BF">
        <w:rPr>
          <w:rFonts w:eastAsiaTheme="minorEastAsia" w:cstheme="minorHAnsi"/>
          <w:bCs/>
          <w:iCs/>
          <w:lang w:eastAsia="ru-RU"/>
        </w:rPr>
        <w:t>ом энергетического оборудования;</w:t>
      </w:r>
    </w:p>
    <w:p w:rsidR="00927877" w:rsidRPr="00927877" w:rsidRDefault="00E4443C" w:rsidP="006F2780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 w:rsidR="00527315"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</w:t>
      </w:r>
      <w:r w:rsidR="006460BD"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</w:t>
      </w:r>
      <w:r w:rsidR="00D565BF">
        <w:rPr>
          <w:rFonts w:eastAsiaTheme="minorEastAsia" w:cstheme="minorHAnsi"/>
          <w:bCs/>
          <w:iCs/>
          <w:lang w:eastAsia="ru-RU"/>
        </w:rPr>
        <w:t>в области регулирования тарифов;</w:t>
      </w:r>
    </w:p>
    <w:p w:rsidR="00927877" w:rsidRPr="00927877" w:rsidRDefault="004B232D" w:rsidP="006F2780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BA7F2C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>
      <w:pPr>
        <w:rPr>
          <w:rFonts w:cstheme="minorHAnsi"/>
          <w:b/>
        </w:rPr>
      </w:pPr>
    </w:p>
    <w:p w:rsidR="00B967D2" w:rsidRDefault="00B967D2">
      <w:pPr>
        <w:rPr>
          <w:rFonts w:cstheme="minorHAnsi"/>
          <w:b/>
        </w:rPr>
      </w:pPr>
    </w:p>
    <w:p w:rsidR="00B967D2" w:rsidRDefault="00B967D2">
      <w:pPr>
        <w:rPr>
          <w:rFonts w:cstheme="minorHAnsi"/>
          <w:b/>
        </w:rPr>
      </w:pPr>
    </w:p>
    <w:p w:rsidR="00025658" w:rsidRDefault="00025658">
      <w:pPr>
        <w:rPr>
          <w:rFonts w:cstheme="minorHAnsi"/>
          <w:b/>
        </w:rPr>
      </w:pPr>
    </w:p>
    <w:p w:rsidR="00025658" w:rsidRDefault="00025658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Рыночная доля Общества, каждого из видов деятельности Общества</w:t>
      </w:r>
    </w:p>
    <w:p w:rsidR="00DD1CE7" w:rsidRDefault="00DD1CE7" w:rsidP="00054D6E">
      <w:pPr>
        <w:spacing w:after="0" w:line="240" w:lineRule="auto"/>
        <w:ind w:firstLine="709"/>
        <w:jc w:val="both"/>
        <w:rPr>
          <w:rFonts w:cstheme="minorHAnsi"/>
        </w:rPr>
      </w:pPr>
      <w:r w:rsidRPr="00DD1CE7">
        <w:rPr>
          <w:rFonts w:cstheme="minorHAnsi"/>
        </w:rPr>
        <w:t>АО «</w:t>
      </w:r>
      <w:r w:rsidR="00B967D2">
        <w:rPr>
          <w:rFonts w:cstheme="minorHAnsi"/>
        </w:rPr>
        <w:t>ВМЭС</w:t>
      </w:r>
      <w:r w:rsidRPr="00DD1CE7">
        <w:rPr>
          <w:rFonts w:cstheme="minorHAnsi"/>
        </w:rPr>
        <w:t>» осуществляет следующие виды деятельности:</w:t>
      </w:r>
      <w:r>
        <w:rPr>
          <w:rFonts w:cstheme="minorHAnsi"/>
        </w:rPr>
        <w:t xml:space="preserve"> передача электроэнергии, технологическое присоединение, прочие виды деятельности промышленного и непромышленного характера.</w:t>
      </w:r>
    </w:p>
    <w:p w:rsidR="00DD1CE7" w:rsidRDefault="00DD1CE7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По итогам деятельности за</w:t>
      </w:r>
      <w:r w:rsidR="00825154">
        <w:rPr>
          <w:rFonts w:cstheme="minorHAnsi"/>
        </w:rPr>
        <w:t xml:space="preserve"> </w:t>
      </w:r>
      <w:r w:rsidR="003979E7">
        <w:rPr>
          <w:rFonts w:cstheme="minorHAnsi"/>
        </w:rPr>
        <w:t>1</w:t>
      </w:r>
      <w:r w:rsidR="00BC1F69">
        <w:rPr>
          <w:rFonts w:cstheme="minorHAnsi"/>
        </w:rPr>
        <w:t xml:space="preserve"> </w:t>
      </w:r>
      <w:r w:rsidR="00F60AEC">
        <w:rPr>
          <w:rFonts w:cstheme="minorHAnsi"/>
        </w:rPr>
        <w:t>квартал 202</w:t>
      </w:r>
      <w:r w:rsidR="007E7138">
        <w:rPr>
          <w:rFonts w:cstheme="minorHAnsi"/>
        </w:rPr>
        <w:t>6</w:t>
      </w:r>
      <w:r>
        <w:rPr>
          <w:rFonts w:cstheme="minorHAnsi"/>
        </w:rPr>
        <w:t xml:space="preserve"> год</w:t>
      </w:r>
      <w:r w:rsidR="000D0D76">
        <w:rPr>
          <w:rFonts w:cstheme="minorHAnsi"/>
        </w:rPr>
        <w:t>а</w:t>
      </w:r>
      <w:r>
        <w:rPr>
          <w:rFonts w:cstheme="minorHAnsi"/>
        </w:rPr>
        <w:t xml:space="preserve"> доля каждого вида деятельности в общем объёме выручки от реализации услуг составила:</w:t>
      </w:r>
    </w:p>
    <w:p w:rsidR="006F2780" w:rsidRDefault="006F2780" w:rsidP="00054D6E">
      <w:pPr>
        <w:spacing w:after="0" w:line="240" w:lineRule="auto"/>
        <w:ind w:firstLine="709"/>
        <w:jc w:val="both"/>
        <w:rPr>
          <w:rFonts w:cstheme="minorHAnsi"/>
        </w:rPr>
      </w:pPr>
    </w:p>
    <w:p w:rsidR="00DD1CE7" w:rsidRPr="00DD1CE7" w:rsidRDefault="009E56A9" w:rsidP="005F4681">
      <w:pPr>
        <w:jc w:val="both"/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6A9C3B42" wp14:editId="17830911">
            <wp:extent cx="5953125" cy="3952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051C" w:rsidRDefault="00DD051C">
      <w:pPr>
        <w:rPr>
          <w:rFonts w:cstheme="minorHAnsi"/>
          <w:b/>
        </w:rPr>
      </w:pPr>
    </w:p>
    <w:tbl>
      <w:tblPr>
        <w:tblpPr w:leftFromText="180" w:rightFromText="180" w:vertAnchor="page" w:horzAnchor="margin" w:tblpY="102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9"/>
        <w:gridCol w:w="1783"/>
        <w:gridCol w:w="1783"/>
      </w:tblGrid>
      <w:tr w:rsidR="00DD051C" w:rsidRPr="00E17422" w:rsidTr="009E56A9">
        <w:trPr>
          <w:trHeight w:val="862"/>
        </w:trPr>
        <w:tc>
          <w:tcPr>
            <w:tcW w:w="3092" w:type="pct"/>
            <w:shd w:val="clear" w:color="auto" w:fill="1F497D" w:themeFill="text2"/>
            <w:vAlign w:val="center"/>
            <w:hideMark/>
          </w:tcPr>
          <w:p w:rsidR="00DD051C" w:rsidRPr="00E17422" w:rsidRDefault="00DD051C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E17422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 xml:space="preserve">Наименование </w:t>
            </w:r>
          </w:p>
        </w:tc>
        <w:tc>
          <w:tcPr>
            <w:tcW w:w="954" w:type="pct"/>
            <w:shd w:val="clear" w:color="auto" w:fill="1F497D" w:themeFill="text2"/>
            <w:vAlign w:val="center"/>
          </w:tcPr>
          <w:p w:rsidR="003979E7" w:rsidRDefault="00825154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1 </w:t>
            </w:r>
            <w:r w:rsidR="00246C9D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квартал</w:t>
            </w:r>
            <w:r w:rsidR="0002446F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 </w:t>
            </w:r>
          </w:p>
          <w:p w:rsidR="00DD051C" w:rsidRPr="00E17422" w:rsidRDefault="00443744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202</w:t>
            </w:r>
            <w:r w:rsidR="0013514F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6</w:t>
            </w:r>
            <w:r w:rsidR="003979E7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 </w:t>
            </w:r>
            <w:r w:rsidR="00F427CF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год</w:t>
            </w: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а</w:t>
            </w:r>
          </w:p>
          <w:p w:rsidR="00DD051C" w:rsidRPr="00E17422" w:rsidRDefault="00DD051C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 w:rsidRPr="00E17422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факт </w:t>
            </w:r>
          </w:p>
        </w:tc>
        <w:tc>
          <w:tcPr>
            <w:tcW w:w="954" w:type="pct"/>
            <w:shd w:val="clear" w:color="auto" w:fill="1F497D" w:themeFill="text2"/>
            <w:vAlign w:val="center"/>
          </w:tcPr>
          <w:p w:rsidR="00DD051C" w:rsidRPr="00E17422" w:rsidRDefault="00DD051C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Доля вида деятельности</w:t>
            </w:r>
          </w:p>
        </w:tc>
      </w:tr>
      <w:tr w:rsidR="00B967D2" w:rsidRPr="00E17422" w:rsidTr="009E56A9">
        <w:trPr>
          <w:trHeight w:val="283"/>
        </w:trPr>
        <w:tc>
          <w:tcPr>
            <w:tcW w:w="3092" w:type="pct"/>
            <w:shd w:val="clear" w:color="000000" w:fill="FFFFFF"/>
            <w:noWrap/>
            <w:hideMark/>
          </w:tcPr>
          <w:p w:rsidR="00B967D2" w:rsidRPr="00E17422" w:rsidRDefault="00B967D2" w:rsidP="009E56A9">
            <w:pPr>
              <w:spacing w:after="0" w:line="240" w:lineRule="auto"/>
              <w:ind w:firstLineChars="100" w:firstLine="220"/>
              <w:rPr>
                <w:rFonts w:eastAsia="Times New Roman" w:cstheme="minorHAnsi"/>
                <w:b/>
                <w:lang w:eastAsia="ru-RU"/>
              </w:rPr>
            </w:pPr>
            <w:r w:rsidRPr="00E17422">
              <w:rPr>
                <w:rFonts w:eastAsia="Times New Roman" w:cstheme="minorHAnsi"/>
                <w:b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D2" w:rsidRPr="00257267" w:rsidRDefault="007E7138" w:rsidP="008251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D2" w:rsidRPr="003979E7" w:rsidRDefault="00B967D2" w:rsidP="009E56A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79E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825154" w:rsidRPr="00825154" w:rsidTr="00356AA7">
        <w:trPr>
          <w:trHeight w:val="387"/>
        </w:trPr>
        <w:tc>
          <w:tcPr>
            <w:tcW w:w="3092" w:type="pct"/>
            <w:shd w:val="clear" w:color="000000" w:fill="FFFFFF"/>
            <w:noWrap/>
            <w:hideMark/>
          </w:tcPr>
          <w:p w:rsidR="00825154" w:rsidRPr="00E17422" w:rsidRDefault="00825154" w:rsidP="00825154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услуг по передаче электроэнергии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3979E7" w:rsidRDefault="007E7138" w:rsidP="008251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54" w:rsidRPr="003979E7" w:rsidRDefault="00F850E1" w:rsidP="008251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92</w:t>
            </w:r>
            <w:r w:rsidR="00825154" w:rsidRPr="003979E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25154" w:rsidRPr="00825154" w:rsidTr="00356AA7">
        <w:trPr>
          <w:trHeight w:val="421"/>
        </w:trPr>
        <w:tc>
          <w:tcPr>
            <w:tcW w:w="3092" w:type="pct"/>
            <w:shd w:val="clear" w:color="000000" w:fill="FFFFFF"/>
            <w:noWrap/>
            <w:hideMark/>
          </w:tcPr>
          <w:p w:rsidR="00825154" w:rsidRPr="00E17422" w:rsidRDefault="00825154" w:rsidP="00825154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54" w:rsidRPr="006E6BCE" w:rsidRDefault="007E7138" w:rsidP="008251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54" w:rsidRPr="003979E7" w:rsidRDefault="007E7138" w:rsidP="008251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6</w:t>
            </w:r>
            <w:r w:rsidR="00825154" w:rsidRPr="003979E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25154" w:rsidRPr="00825154" w:rsidTr="00356AA7">
        <w:trPr>
          <w:trHeight w:val="415"/>
        </w:trPr>
        <w:tc>
          <w:tcPr>
            <w:tcW w:w="3092" w:type="pct"/>
            <w:shd w:val="clear" w:color="000000" w:fill="FFFFFF"/>
            <w:noWrap/>
          </w:tcPr>
          <w:p w:rsidR="00825154" w:rsidRPr="00E17422" w:rsidRDefault="00825154" w:rsidP="00825154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прочей продукции (услуг)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C86E3D" w:rsidRDefault="007E7138" w:rsidP="008251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54" w:rsidRPr="003979E7" w:rsidRDefault="007E7138" w:rsidP="008251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2</w:t>
            </w:r>
            <w:r w:rsidR="00825154" w:rsidRPr="003979E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DD051C" w:rsidRPr="00DD051C" w:rsidRDefault="001913AC" w:rsidP="00DD051C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DD051C" w:rsidRPr="00DD051C" w:rsidRDefault="00DD051C" w:rsidP="00DD051C">
      <w:pPr>
        <w:rPr>
          <w:rFonts w:cstheme="minorHAnsi"/>
        </w:rPr>
      </w:pPr>
      <w:bookmarkStart w:id="0" w:name="_GoBack"/>
      <w:bookmarkEnd w:id="0"/>
    </w:p>
    <w:p w:rsidR="00DD051C" w:rsidRDefault="00DD051C" w:rsidP="00DD051C">
      <w:pPr>
        <w:rPr>
          <w:rFonts w:cstheme="minorHAnsi"/>
        </w:rPr>
      </w:pPr>
    </w:p>
    <w:p w:rsidR="00DD1CE7" w:rsidRPr="00DD051C" w:rsidRDefault="00DD051C" w:rsidP="00DD051C">
      <w:pPr>
        <w:tabs>
          <w:tab w:val="left" w:pos="1560"/>
        </w:tabs>
        <w:rPr>
          <w:rFonts w:cstheme="minorHAnsi"/>
        </w:rPr>
      </w:pPr>
      <w:r>
        <w:rPr>
          <w:rFonts w:cstheme="minorHAnsi"/>
        </w:rPr>
        <w:tab/>
      </w:r>
    </w:p>
    <w:sectPr w:rsidR="00DD1CE7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E6" w:rsidRDefault="008B4AE6" w:rsidP="008B4AE6">
      <w:pPr>
        <w:spacing w:after="0" w:line="240" w:lineRule="auto"/>
      </w:pPr>
      <w:r>
        <w:separator/>
      </w:r>
    </w:p>
  </w:endnote>
  <w:endnote w:type="continuationSeparator" w:id="0">
    <w:p w:rsidR="008B4AE6" w:rsidRDefault="008B4AE6" w:rsidP="008B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E6" w:rsidRDefault="008B4AE6" w:rsidP="008B4AE6">
      <w:pPr>
        <w:spacing w:after="0" w:line="240" w:lineRule="auto"/>
      </w:pPr>
      <w:r>
        <w:separator/>
      </w:r>
    </w:p>
  </w:footnote>
  <w:footnote w:type="continuationSeparator" w:id="0">
    <w:p w:rsidR="008B4AE6" w:rsidRDefault="008B4AE6" w:rsidP="008B4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17D86"/>
    <w:rsid w:val="0002446F"/>
    <w:rsid w:val="00025658"/>
    <w:rsid w:val="00036762"/>
    <w:rsid w:val="00054D6E"/>
    <w:rsid w:val="000671A5"/>
    <w:rsid w:val="00073313"/>
    <w:rsid w:val="00085672"/>
    <w:rsid w:val="0009122D"/>
    <w:rsid w:val="000C5D3A"/>
    <w:rsid w:val="000D0D76"/>
    <w:rsid w:val="000E6083"/>
    <w:rsid w:val="0013514F"/>
    <w:rsid w:val="00153B3E"/>
    <w:rsid w:val="001711F8"/>
    <w:rsid w:val="0018477D"/>
    <w:rsid w:val="00186306"/>
    <w:rsid w:val="001913AC"/>
    <w:rsid w:val="001C6B08"/>
    <w:rsid w:val="001E0FE1"/>
    <w:rsid w:val="001E6918"/>
    <w:rsid w:val="0020153C"/>
    <w:rsid w:val="00214F6E"/>
    <w:rsid w:val="00246C9D"/>
    <w:rsid w:val="0024757E"/>
    <w:rsid w:val="00257267"/>
    <w:rsid w:val="002836FA"/>
    <w:rsid w:val="002961B8"/>
    <w:rsid w:val="002C02A5"/>
    <w:rsid w:val="002D191E"/>
    <w:rsid w:val="002D5464"/>
    <w:rsid w:val="00310092"/>
    <w:rsid w:val="00335C08"/>
    <w:rsid w:val="003664EF"/>
    <w:rsid w:val="00371C41"/>
    <w:rsid w:val="003933B3"/>
    <w:rsid w:val="00396BEF"/>
    <w:rsid w:val="003979E7"/>
    <w:rsid w:val="003A7F7F"/>
    <w:rsid w:val="003D1885"/>
    <w:rsid w:val="003D4414"/>
    <w:rsid w:val="004356F0"/>
    <w:rsid w:val="00443744"/>
    <w:rsid w:val="00454661"/>
    <w:rsid w:val="004B232D"/>
    <w:rsid w:val="004C5282"/>
    <w:rsid w:val="0051107C"/>
    <w:rsid w:val="00527315"/>
    <w:rsid w:val="00542908"/>
    <w:rsid w:val="005447E7"/>
    <w:rsid w:val="00574F98"/>
    <w:rsid w:val="005A2072"/>
    <w:rsid w:val="005C55FD"/>
    <w:rsid w:val="005F4681"/>
    <w:rsid w:val="006103EC"/>
    <w:rsid w:val="00643702"/>
    <w:rsid w:val="006460BD"/>
    <w:rsid w:val="00666ABA"/>
    <w:rsid w:val="006E6BCE"/>
    <w:rsid w:val="006F2780"/>
    <w:rsid w:val="007172C6"/>
    <w:rsid w:val="00724F07"/>
    <w:rsid w:val="007E7138"/>
    <w:rsid w:val="00825154"/>
    <w:rsid w:val="008534BC"/>
    <w:rsid w:val="00854655"/>
    <w:rsid w:val="00856A0A"/>
    <w:rsid w:val="008618FE"/>
    <w:rsid w:val="0088755C"/>
    <w:rsid w:val="00892EAF"/>
    <w:rsid w:val="008A631C"/>
    <w:rsid w:val="008B4AE6"/>
    <w:rsid w:val="009072A5"/>
    <w:rsid w:val="0092024C"/>
    <w:rsid w:val="00920F01"/>
    <w:rsid w:val="00927877"/>
    <w:rsid w:val="00927D05"/>
    <w:rsid w:val="00935DCF"/>
    <w:rsid w:val="0094232C"/>
    <w:rsid w:val="009542B3"/>
    <w:rsid w:val="009B31E9"/>
    <w:rsid w:val="009B420E"/>
    <w:rsid w:val="009B6801"/>
    <w:rsid w:val="009E0E22"/>
    <w:rsid w:val="009E56A9"/>
    <w:rsid w:val="009F1EAB"/>
    <w:rsid w:val="00A247D3"/>
    <w:rsid w:val="00A36C0F"/>
    <w:rsid w:val="00A55497"/>
    <w:rsid w:val="00A561FF"/>
    <w:rsid w:val="00A81091"/>
    <w:rsid w:val="00AE17E3"/>
    <w:rsid w:val="00AE371D"/>
    <w:rsid w:val="00AE69DC"/>
    <w:rsid w:val="00B245A6"/>
    <w:rsid w:val="00B81001"/>
    <w:rsid w:val="00B91CF6"/>
    <w:rsid w:val="00B967D2"/>
    <w:rsid w:val="00B974A0"/>
    <w:rsid w:val="00BA7F2C"/>
    <w:rsid w:val="00BC1F69"/>
    <w:rsid w:val="00BC2787"/>
    <w:rsid w:val="00BE141B"/>
    <w:rsid w:val="00C154E4"/>
    <w:rsid w:val="00C86E3D"/>
    <w:rsid w:val="00C96AD4"/>
    <w:rsid w:val="00CA5CF8"/>
    <w:rsid w:val="00CA7F94"/>
    <w:rsid w:val="00CC4330"/>
    <w:rsid w:val="00CD32B1"/>
    <w:rsid w:val="00D23442"/>
    <w:rsid w:val="00D40B8A"/>
    <w:rsid w:val="00D44AFE"/>
    <w:rsid w:val="00D55277"/>
    <w:rsid w:val="00D565BF"/>
    <w:rsid w:val="00D91023"/>
    <w:rsid w:val="00DA6BC6"/>
    <w:rsid w:val="00DB24FA"/>
    <w:rsid w:val="00DB3A28"/>
    <w:rsid w:val="00DB7B45"/>
    <w:rsid w:val="00DD051C"/>
    <w:rsid w:val="00DD1CE7"/>
    <w:rsid w:val="00DD7165"/>
    <w:rsid w:val="00E17422"/>
    <w:rsid w:val="00E4443C"/>
    <w:rsid w:val="00E9108B"/>
    <w:rsid w:val="00EC51B3"/>
    <w:rsid w:val="00F03D50"/>
    <w:rsid w:val="00F22870"/>
    <w:rsid w:val="00F427CF"/>
    <w:rsid w:val="00F54706"/>
    <w:rsid w:val="00F604B9"/>
    <w:rsid w:val="00F60AEC"/>
    <w:rsid w:val="00F850E1"/>
    <w:rsid w:val="00FB1A67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2916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AE6"/>
  </w:style>
  <w:style w:type="paragraph" w:styleId="a7">
    <w:name w:val="footer"/>
    <w:basedOn w:val="a"/>
    <w:link w:val="a8"/>
    <w:uiPriority w:val="99"/>
    <w:unhideWhenUsed/>
    <w:rsid w:val="008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Структура фактической выручки АО "ВМЭС" за                          1</a:t>
            </a:r>
            <a:r>
              <a:rPr lang="ru-RU" sz="1400" b="0" i="0" baseline="0">
                <a:effectLst/>
              </a:rPr>
              <a:t> </a:t>
            </a:r>
            <a:r>
              <a:rPr lang="ru-RU" sz="1800" b="1" i="0" baseline="0">
                <a:effectLst/>
              </a:rPr>
              <a:t>квартал 2026 года, в млн руб. и %</a:t>
            </a:r>
            <a:endParaRPr lang="ru-RU">
              <a:effectLst/>
            </a:endParaRPr>
          </a:p>
        </c:rich>
      </c:tx>
      <c:layout>
        <c:manualLayout>
          <c:xMode val="edge"/>
          <c:yMode val="edge"/>
          <c:x val="2.620628596724214E-2"/>
          <c:y val="2.25988700564971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3328083989501157E-4"/>
          <c:y val="0.38458817948961199"/>
          <c:w val="0.82806677165354325"/>
          <c:h val="0.54793131581443888"/>
        </c:manualLayout>
      </c:layout>
      <c:pie3DChart>
        <c:varyColors val="1"/>
        <c:ser>
          <c:idx val="0"/>
          <c:order val="0"/>
          <c:explosion val="2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rgbClr val="808080">
                    <a:alpha val="0"/>
                  </a:srgbClr>
                </a:solidFill>
              </a:ln>
              <a:effectLst/>
              <a:sp3d contourW="25400">
                <a:contourClr>
                  <a:srgbClr val="808080">
                    <a:alpha val="0"/>
                  </a:s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34B-4230-9B3E-E6AD8620D8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rgbClr val="808080">
                    <a:alpha val="0"/>
                  </a:srgbClr>
                </a:solidFill>
              </a:ln>
              <a:effectLst/>
              <a:sp3d contourW="25400">
                <a:contourClr>
                  <a:srgbClr val="808080">
                    <a:alpha val="0"/>
                  </a:s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34B-4230-9B3E-E6AD8620D8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rgbClr val="808080">
                    <a:alpha val="0"/>
                  </a:srgbClr>
                </a:solidFill>
              </a:ln>
              <a:effectLst/>
              <a:sp3d contourW="25400">
                <a:contourClr>
                  <a:srgbClr val="808080">
                    <a:alpha val="0"/>
                  </a:s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34B-4230-9B3E-E6AD8620D831}"/>
              </c:ext>
            </c:extLst>
          </c:dPt>
          <c:dLbls>
            <c:dLbl>
              <c:idx val="0"/>
              <c:layout>
                <c:manualLayout>
                  <c:x val="-0.14491346981627296"/>
                  <c:y val="-0.2184341776555039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75E1A5-36B9-4C77-A542-0516BBDB348B}" type="VALUE">
                      <a:rPr lang="ru-RU">
                        <a:solidFill>
                          <a:schemeClr val="bg1"/>
                        </a:solidFill>
                      </a:rPr>
                      <a:pPr>
                        <a:defRPr sz="1050" b="1"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 млн</a:t>
                    </a:r>
                    <a:r>
                      <a:rPr lang="ru-RU" baseline="0">
                        <a:solidFill>
                          <a:schemeClr val="bg1"/>
                        </a:solidFill>
                      </a:rPr>
                      <a:t> </a:t>
                    </a:r>
                    <a:r>
                      <a:rPr lang="ru-RU">
                        <a:solidFill>
                          <a:schemeClr val="bg1"/>
                        </a:solidFill>
                      </a:rPr>
                      <a:t>руб</a:t>
                    </a:r>
                    <a:r>
                      <a:rPr lang="ru-RU" baseline="0">
                        <a:solidFill>
                          <a:schemeClr val="bg1"/>
                        </a:solidFill>
                      </a:rPr>
                      <a:t>; </a:t>
                    </a:r>
                    <a:fld id="{227F9ACA-00A1-4D9A-9ACB-8D8BB98CA87B}" type="PERCENTAGE">
                      <a:rPr lang="ru-RU" baseline="0">
                        <a:solidFill>
                          <a:schemeClr val="bg1"/>
                        </a:solidFill>
                      </a:rPr>
                      <a:pPr>
                        <a:defRPr sz="1050" b="1">
                          <a:solidFill>
                            <a:schemeClr val="bg1"/>
                          </a:solidFill>
                        </a:defRPr>
                      </a:pPr>
                      <a:t>[ПРОЦЕНТ]</a:t>
                    </a:fld>
                    <a:endParaRPr lang="ru-RU" baseline="0">
                      <a:solidFill>
                        <a:schemeClr val="bg1"/>
                      </a:solidFill>
                    </a:endParaRPr>
                  </a:p>
                </c:rich>
              </c:tx>
              <c:spPr>
                <a:noFill/>
                <a:ln cmpd="sng">
                  <a:solidFill>
                    <a:srgbClr val="808080">
                      <a:alpha val="0"/>
                    </a:srgb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738124934383201"/>
                      <c:h val="9.580722891566265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34B-4230-9B3E-E6AD8620D831}"/>
                </c:ext>
              </c:extLst>
            </c:dLbl>
            <c:dLbl>
              <c:idx val="1"/>
              <c:layout>
                <c:manualLayout>
                  <c:x val="-6.1823999999999997E-2"/>
                  <c:y val="-7.3652721120703582E-3"/>
                </c:manualLayout>
              </c:layout>
              <c:tx>
                <c:rich>
                  <a:bodyPr/>
                  <a:lstStyle/>
                  <a:p>
                    <a:fld id="{0AE0C609-2410-4C78-A56A-3A59BC06B0EC}" type="VALUE">
                      <a:rPr lang="ru-RU"/>
                      <a:pPr/>
                      <a:t>[ЗНАЧЕНИЕ]</a:t>
                    </a:fld>
                    <a:r>
                      <a:rPr lang="ru-RU"/>
                      <a:t> млн</a:t>
                    </a:r>
                    <a:r>
                      <a:rPr lang="ru-RU" baseline="0"/>
                      <a:t> </a:t>
                    </a:r>
                    <a:r>
                      <a:rPr lang="ru-RU"/>
                      <a:t>руб</a:t>
                    </a:r>
                    <a:r>
                      <a:rPr lang="ru-RU" baseline="0"/>
                      <a:t>; </a:t>
                    </a:r>
                    <a:fld id="{8CD33FB5-D885-4F94-86C7-DCEA3DD4F582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34B-4230-9B3E-E6AD8620D831}"/>
                </c:ext>
              </c:extLst>
            </c:dLbl>
            <c:dLbl>
              <c:idx val="2"/>
              <c:layout>
                <c:manualLayout>
                  <c:x val="0.13648556430446193"/>
                  <c:y val="-7.1059346748323128E-3"/>
                </c:manualLayout>
              </c:layout>
              <c:tx>
                <c:rich>
                  <a:bodyPr/>
                  <a:lstStyle/>
                  <a:p>
                    <a:fld id="{443F71B8-A154-4B99-9D7F-6147A1DDFF99}" type="VALUE">
                      <a:rPr lang="ru-RU"/>
                      <a:pPr/>
                      <a:t>[ЗНАЧЕНИЕ]</a:t>
                    </a:fld>
                    <a:r>
                      <a:rPr lang="ru-RU"/>
                      <a:t> млн</a:t>
                    </a:r>
                    <a:r>
                      <a:rPr lang="ru-RU" baseline="0"/>
                      <a:t> </a:t>
                    </a:r>
                    <a:r>
                      <a:rPr lang="ru-RU"/>
                      <a:t>руб.</a:t>
                    </a:r>
                    <a:r>
                      <a:rPr lang="ru-RU" baseline="0"/>
                      <a:t>; </a:t>
                    </a:r>
                    <a:fld id="{8644A44D-CBC0-4E99-97F0-B29B8A9CDD8F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34B-4230-9B3E-E6AD8620D831}"/>
                </c:ext>
              </c:extLst>
            </c:dLbl>
            <c:spPr>
              <a:noFill/>
              <a:ln cmpd="sng">
                <a:solidFill>
                  <a:srgbClr val="808080">
                    <a:alpha val="0"/>
                  </a:srgb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Лист1!$A$10:$A$12</c:f>
              <c:strCache>
                <c:ptCount val="3"/>
                <c:pt idx="0">
                  <c:v>услуги по передаче электроэнергии по сетям</c:v>
                </c:pt>
                <c:pt idx="1">
                  <c:v>услуги по технологическому присоединению</c:v>
                </c:pt>
                <c:pt idx="2">
                  <c:v>прочая продукция (услуги)</c:v>
                </c:pt>
              </c:strCache>
            </c:strRef>
          </c:cat>
          <c:val>
            <c:numRef>
              <c:f>Лист1!$C$10:$C$12</c:f>
              <c:numCache>
                <c:formatCode>#,##0</c:formatCode>
                <c:ptCount val="3"/>
                <c:pt idx="0">
                  <c:v>680.12145940159996</c:v>
                </c:pt>
                <c:pt idx="1">
                  <c:v>43.064503440000003</c:v>
                </c:pt>
                <c:pt idx="2">
                  <c:v>14.55848741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4B-4230-9B3E-E6AD8620D831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834B-4230-9B3E-E6AD8620D8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834B-4230-9B3E-E6AD8620D8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834B-4230-9B3E-E6AD8620D831}"/>
              </c:ext>
            </c:extLst>
          </c:dPt>
          <c:cat>
            <c:strRef>
              <c:f>Лист1!$A$10:$A$12</c:f>
              <c:strCache>
                <c:ptCount val="3"/>
                <c:pt idx="0">
                  <c:v>услуги по передаче электроэнергии по сетям</c:v>
                </c:pt>
                <c:pt idx="1">
                  <c:v>услуги по технологическому присоединению</c:v>
                </c:pt>
                <c:pt idx="2">
                  <c:v>прочая продукция (услуги)</c:v>
                </c:pt>
              </c:strCache>
            </c:strRef>
          </c:cat>
          <c:val>
            <c:numRef>
              <c:f>Лист1!$D$10:$D$12</c:f>
              <c:numCache>
                <c:formatCode>0.00%</c:formatCode>
                <c:ptCount val="3"/>
                <c:pt idx="0">
                  <c:v>0.9218930202316693</c:v>
                </c:pt>
                <c:pt idx="1">
                  <c:v>5.8373198775420555E-2</c:v>
                </c:pt>
                <c:pt idx="2">
                  <c:v>1.9733780992910191E-2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34B-4230-9B3E-E6AD8620D8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9778601204261235"/>
          <c:y val="0.22552294216235017"/>
          <c:w val="0.20099641037517366"/>
          <c:h val="0.765705214559023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Равчеева Инесса Александровна</cp:lastModifiedBy>
  <cp:revision>61</cp:revision>
  <cp:lastPrinted>2023-07-27T08:59:00Z</cp:lastPrinted>
  <dcterms:created xsi:type="dcterms:W3CDTF">2020-02-05T09:02:00Z</dcterms:created>
  <dcterms:modified xsi:type="dcterms:W3CDTF">2026-05-13T12:03:00Z</dcterms:modified>
</cp:coreProperties>
</file>